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МАТЕРИАЛЫ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9E46A5" w:rsidRPr="009E46A5" w:rsidRDefault="009E46A5" w:rsidP="009E46A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(февраль 2023 г.)</w:t>
      </w:r>
    </w:p>
    <w:p w:rsidR="009E46A5" w:rsidRPr="009E46A5" w:rsidRDefault="009E46A5" w:rsidP="009E46A5">
      <w:pPr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9E46A5" w:rsidRPr="009E46A5" w:rsidRDefault="009E46A5" w:rsidP="00E35C6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</w:pPr>
      <w:r w:rsidRPr="009E46A5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ОБ ИТОГАХ СОЦИАЛЬНО-ЭКОНОМИЧЕСКОГО РАЗВИТИЯ ГРОДНЕНСКОЙ ОБЛАСТИ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ЗА ЯНВАРЬ – </w:t>
      </w:r>
      <w:r w:rsidR="00E35C67" w:rsidRP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ДЕКАБРЬ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>202</w:t>
      </w:r>
      <w:r w:rsid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>2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Г.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val="be-BY" w:eastAsia="ru-RU"/>
        </w:rPr>
      </w:pP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 xml:space="preserve">Материал подготовлен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>комитетом экономики Гродненского облисполкома</w:t>
      </w:r>
    </w:p>
    <w:p w:rsidR="00961999" w:rsidRPr="00400650" w:rsidRDefault="00961999" w:rsidP="00400650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январе – декабре 2022 г. объем валового регионального продукта составил 20,3 млрд. рублей, или 96,6 % к уровню 2021 года (задание на январь – декабрь 2022 г. – 104,8 %), в том числе по видам деятельности: промышленность – 94,7% (удельный вес – 34,4 %), сельское, лесное и рыбное хозяйство – 108,0 % (11,4 %), строительство – 89,9 % (4,7 %), оптовая и розничная торговля; ремонт автомобилей и мотоциклов – 92,9 % (5,8 %), транспортная деятельность, складирование, почтовая и курьерская деятельность – 78,5 % (4,0 %).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Произведено промышленной продукции на сумму 18,7 млрд. рублей, что составляет в объеме республики 11,0 %.</w:t>
      </w:r>
    </w:p>
    <w:p w:rsid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Индекс физического объема производства по набору товаров-представителей составил 94,1 % (декабрь 2022 г. к ноябрю 2022 г. – 105,1%), в том числе: обрабатывающая промышленность – 96,4% (удельный вес в общем объеме производства – 90,1%), снабжение электроэнергией, газом, паром, горячей водой и кондиционированным воздухом – 86,8 % (8,3 %), водоснабжение; сбор, обработка и удаление отходов, деятельность по ликвидации загрязнений – 95,0 % (1,5 %), горнодобывающая промышленность – 99,0 % (0,1 %).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На 1 января 2023 г. на складах промышленных предприятий находилось готовой продукции на сумму 1,2 млрд. рублей, удельный вес запасов в среднемесячном объеме производства составил 90,8 % (на 01.01.2022 – 69,2 %). За декабрь 2022 г. запасы готовой продукции снизились на 57,2 млн. рублей (с начала 2022 года выросли на 355,2 млн. рублей).</w:t>
      </w:r>
    </w:p>
    <w:p w:rsidR="00400650" w:rsidRPr="00400650" w:rsidRDefault="00400650" w:rsidP="000F5F3A">
      <w:pPr>
        <w:tabs>
          <w:tab w:val="left" w:pos="3969"/>
        </w:tabs>
        <w:ind w:firstLine="709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За январь – </w:t>
      </w:r>
      <w:r w:rsidR="00BA60E4">
        <w:rPr>
          <w:rFonts w:ascii="Times New Roman" w:hAnsi="Times New Roman"/>
          <w:bCs/>
          <w:spacing w:val="0"/>
          <w:sz w:val="30"/>
          <w:szCs w:val="30"/>
          <w:lang w:eastAsia="ru-RU"/>
        </w:rPr>
        <w:t>декабрь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2022 г. произведено импортозамещающей продукции на сумму </w:t>
      </w:r>
      <w:r w:rsidR="000F5F3A">
        <w:rPr>
          <w:rFonts w:ascii="Times New Roman" w:hAnsi="Times New Roman"/>
          <w:bCs/>
          <w:spacing w:val="0"/>
          <w:sz w:val="30"/>
          <w:szCs w:val="30"/>
          <w:lang w:eastAsia="ru-RU"/>
        </w:rPr>
        <w:t>937,8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млн. долл. США (план на 2022 год – 914,6 млн. долларов США). На экспорт поставлено продукции на 430,7 млн. долларов США. </w:t>
      </w:r>
    </w:p>
    <w:p w:rsidR="00400650" w:rsidRPr="00400650" w:rsidRDefault="00400650" w:rsidP="00400650">
      <w:pPr>
        <w:ind w:firstLine="709"/>
        <w:contextualSpacing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</w:rPr>
        <w:t>За январь – декабрь 2022 г. объем валовой продукции с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>ельского хозяйства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 во всех категориях хозяйств в текущих ценах составил </w:t>
      </w:r>
      <w:r w:rsidRPr="00400650">
        <w:rPr>
          <w:rFonts w:ascii="Times New Roman" w:hAnsi="Times New Roman"/>
          <w:sz w:val="30"/>
          <w:szCs w:val="30"/>
        </w:rPr>
        <w:t>5,6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106,9 % 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(в сопоставимых ценах)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к 2021 году. Сельскохозяйственными организациями, включая крестьянские (фермерские) хозяйства, произведено продукции в текущих ценах на </w:t>
      </w:r>
      <w:r w:rsidRPr="00400650">
        <w:rPr>
          <w:rFonts w:ascii="Times New Roman" w:hAnsi="Times New Roman"/>
          <w:spacing w:val="0"/>
          <w:sz w:val="30"/>
          <w:szCs w:val="30"/>
        </w:rPr>
        <w:lastRenderedPageBreak/>
        <w:t xml:space="preserve">сумму </w:t>
      </w:r>
      <w:r w:rsidRPr="00400650">
        <w:rPr>
          <w:rFonts w:ascii="Times New Roman" w:hAnsi="Times New Roman"/>
          <w:sz w:val="30"/>
          <w:szCs w:val="30"/>
        </w:rPr>
        <w:t xml:space="preserve">4,7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106,6 %, в том числе продукции животноводства - 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98,7 % к 2021 году (удельный вес составил 56,5 %), растениеводства - 118,9 % (43,5 %). 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2022 году введено в эксплуатацию 477,5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тыс. кв. метров общей площади жилья (100,5 % от установленного задания). Для граждан, осуществляющих жилищное строительство с государственной поддержкой, сдано 191,1 тыс. кв. метров общей площади жилья (109,2 %).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Введены в эксплуатацию 1347 квартир для 1339 многодетных семей (задание 1071 семья), направлены на улучшение жилищных условий 1224 многодетные семьи (задание 1200 семей).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Ввод в действие индивидуальных жилых домов населением составил 172,8 тыс. кв. метров, или 36,2 % от общего ввода жилья.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области построены 42 квартиры (2,0 тыс.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метров) социального пользования, а также 240 арендные квартиры общей площадью 15,8 тыс. кв. метров.</w:t>
      </w:r>
    </w:p>
    <w:p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В целом за отчетный период построено 294,9 тыс. кв. метров </w:t>
      </w:r>
      <w:proofErr w:type="spell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энергоэффективного</w:t>
      </w:r>
      <w:proofErr w:type="spell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жилья (100% введенного в эксплуатацию многоквартирного жилья).</w:t>
      </w:r>
    </w:p>
    <w:p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В городе-спутнике Скиделе введено в эксплуатацию 5,7 тыс.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метров жилья (план – 1,2 </w:t>
      </w:r>
      <w:proofErr w:type="spell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тыс.кв</w:t>
      </w:r>
      <w:proofErr w:type="gram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.м</w:t>
      </w:r>
      <w:proofErr w:type="gram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етров</w:t>
      </w:r>
      <w:proofErr w:type="spell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).</w:t>
      </w:r>
    </w:p>
    <w:p w:rsidR="00400650" w:rsidRPr="00400650" w:rsidRDefault="00400650" w:rsidP="00400650">
      <w:pPr>
        <w:widowControl w:val="0"/>
        <w:suppressAutoHyphens/>
        <w:ind w:firstLine="708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На жилищное строительство направлено 600,2 млн. рублей.</w:t>
      </w:r>
    </w:p>
    <w:p w:rsidR="00400650" w:rsidRPr="00400650" w:rsidRDefault="00400650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Розничный товарооборот торговли через все каналы реализации за январь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декабрь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2022 г. составил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6,7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млрд. рублей, или 9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8,2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% к уровню января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декабря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2021 г. </w:t>
      </w:r>
    </w:p>
    <w:p w:rsidR="00400650" w:rsidRPr="00400650" w:rsidRDefault="000F5F3A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К</w:t>
      </w:r>
      <w:proofErr w:type="spellStart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>оличество</w:t>
      </w:r>
      <w:proofErr w:type="spellEnd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торговых объектов увеличилось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502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и составило 128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объекта (магазинов – на 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единиц, общее количество – 64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16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), торговая площадь увеличилась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40,7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 и составила 73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9,1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м.</w:t>
      </w:r>
    </w:p>
    <w:p w:rsidR="00400650" w:rsidRPr="00400650" w:rsidRDefault="000F5F3A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>
        <w:rPr>
          <w:rFonts w:ascii="Times New Roman" w:eastAsia="Calibri" w:hAnsi="Times New Roman"/>
          <w:spacing w:val="0"/>
          <w:sz w:val="30"/>
          <w:szCs w:val="30"/>
          <w:lang w:eastAsia="ru-RU"/>
        </w:rPr>
        <w:t>О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бъем инвестиций в основной капитал по области составил 3,4 млрд. рублей, или 84,2 % к уровню января – декабря 2021 г.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Технологическая структура инвестиций в основной капитал: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строительно-монтажные работы (включая работы по монтажу оборудования) – удельный вес 53,0 % (1,8 млрд. рублей, или 80,0 %);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затраты на приобретение машин оборудования, транспортных средств – удельный вес 33,6 % (1,1 млрд. рублей, 88,3 %);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прочие затраты – удельный вес 13,4 % (0,5 млрд. рублей).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электростанции. За январь – декабрь 2022 г. удельный вес инвестиций в основной капитал по РУП «Белорусская </w:t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lastRenderedPageBreak/>
        <w:t>атомная электростанция» составил 16,8 % от общего объема инвестиций области (62,6 % к январю – декабрю 2021 г.).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proofErr w:type="gram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Продолжается реализация крупных инвестиционных проектов по строительству деревообрабатывающего завода «Свислочь»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ЭйчЭсБелакон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»), созданию производства стеклянной тары с использованием инновационных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энергоэффективных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 ресурсосберегающих технологий (ОАО «Гродненский стеклозавод»), организации производства и последующей эксплуатации производственного завода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в городе Сморгони (Группа компаний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), созданию вертикально-интегрированного комплекса по производству хлопковой пряжи и изделий из нее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bookmarkStart w:id="0" w:name="_GoBack"/>
      <w:bookmarkEnd w:id="0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Европластекс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Инвест»).</w:t>
      </w:r>
      <w:proofErr w:type="gramEnd"/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товаров составил 3,0 млрд. долларов США, или 94,5 % к уровню соответствующего периода 2021 года. Сальдо внешней торговли товарами к уровню января – ноября      2021 г. сложилось положительным в размере 1,5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Основными покупателями гродненских товаров являются 5 стран, на долю которых приходится 75,3 % всего экспорта товаров (Россия – 55,8%, Польша – 6,9%, Дания – 4,4%, Украина – 4,4%, Литва – 3,8%).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Российская Федерация является ключевым торговым партнером области. В январе-ноябре 2022 г. экспорт товаров в Российскую Федерацию увеличился на 23,9 млн. долларов США, или на 1,5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22"/>
        </w:rPr>
        <w:t>п.п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22"/>
        </w:rPr>
        <w:t>., и составил 1,7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Экспорт в Европейский союз составил 634,0 млн. долларов США, темп роста – 86,4%.</w:t>
      </w:r>
      <w:r w:rsidR="0072584E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Наибольший удельный вес в экспорте из стран ЕС приходился на Польшу (32,3%), Данию (20,8%), Литву (18,1 %), Латвию (6,3%).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Обеспечена положительная динамика экспорта товаров в прочие страны: Норвегию (100,3 млн. долларов США, увеличение в 11,0 раз), Китай (75,8 млн. долларов США, темп роста – 121,0 %), Турцию (58,0 млн. долларов США, темп роста – 190,3 %).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proofErr w:type="gramStart"/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услуг составил 276,0 млн. долларов США, или 104,3% к уровню января-ноября 2021 г., импорт услуг – 422,0 млн. долларов США, или 96,2%. Сальдо внешней торговли услугами сложилось отрицательным в размере «минус» 146,0 млн.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долл.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США и увеличилось относительно уровня января – ноября  2021 г. на 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28,1 млн. долларов США. </w:t>
      </w:r>
      <w:proofErr w:type="gramEnd"/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Достигнута положительная динамика по следующим видам услуг: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транспортным – 150,9 млн. долларов США, или 103,2% к уровню января-ноября 2021 г. (удельный вес – 54,7%);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lastRenderedPageBreak/>
        <w:t>компьютерным, телекоммуникационным и информационным – 50,0 млн. долларов США, или 119,1 % (18,1%);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туристическим – 11,9 млн. долларов США, или 185,8% (4,3%);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медицинским – 2,7 млн. долларов США, или 123,2% (1,0%).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На пять стран приходится около 82% экспорта услуг области: Россия (удельный вес – 56,4%), Польша (11,5%), Литва (5,6%), США (4,8%) и Германия (3,5%).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Выручка от реализации продукции, товаров, работ, услуг за январь – ноябрь 2022 г. в целом по области составила 28,0 млрд. рублей, или 108,3% к январю – ноябрю 2021 г.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Рентабельность продаж увеличилась по сравнению с январем – ноябрем 2021 г. на 0,3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составила 10,5 %, в том числе в организациях: сельского, лесного и рыбного хозяйства – на 2,8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13,8%, строительства – на 1,3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6,0 %, торговли – на 1,2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2,4 %, транспорта – на 1,3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2,3 %, соответственно. Снизилась рентабельность продаж в организациях промышленности на 0,5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. и составила 12,7 %.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Количество убыточных организаций составило 71 и снизилось к январю – ноябрю 2021 г. на 18 организаций, удельный вес убыточных организаций – 11,0 % от их общего количества, сумма убытка – 294,2 млн. рублей. Снижено количество убыточных организаций в транспорте с </w:t>
      </w:r>
      <w:r w:rsidR="00E35C67">
        <w:rPr>
          <w:rFonts w:ascii="Times New Roman" w:hAnsi="Times New Roman"/>
          <w:bCs/>
          <w:spacing w:val="0"/>
          <w:sz w:val="30"/>
          <w:szCs w:val="30"/>
          <w:lang w:eastAsia="ru-RU"/>
        </w:rPr>
        <w:br/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18 до 11, промышленности – с 25 до 20, сельском хозяйстве – с 8 </w:t>
      </w:r>
      <w:proofErr w:type="gram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до</w:t>
      </w:r>
      <w:proofErr w:type="gram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4.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>В области на постоянной основе принимаются необходимые меры по обеспечению эффективной занятости населения, стабильной ситуации в трудовых коллективах.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Уровень безработицы на 1 января 2023 г. составил 0,2 % к численности экономически активного населения.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В режиме вынужденной неполной занятости в 2022 году работали 8,5 тыс. человек (2,7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от списочной численности работников), что на 12,4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(9,7 тыс. работников, или 3,0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).</w:t>
      </w:r>
    </w:p>
    <w:p w:rsidR="000F5F3A" w:rsidRPr="000F5F3A" w:rsidRDefault="00400650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Отмечается снижение увольнения работников в случае ликвидации организации, сокращения численности или штата работников. 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2022 год по данным причинам уволено 0,8 тыс. человек, что 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в 2 раза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(1,6 тыс. человек).</w:t>
      </w:r>
    </w:p>
    <w:p w:rsid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>В экономике области в январе-декабре 2022 г. было занято 447,3 тыс. человек, что на 7,0 тыс. человек, или на 1,5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, меньше, чем в январе-декабре 2021 г.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январь-декабрь 2022 г. номинальная начисленная среднемесячная заработная плата в целом по области выросла на 16,5 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к уровню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2021 года и достигла 1437,7 рубля. Показатель по росту заработной платы за 2022 год выполнен на 106,6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.</w:t>
      </w:r>
    </w:p>
    <w:p w:rsidR="001C4F47" w:rsidRDefault="007E5149" w:rsidP="007E5149">
      <w:pPr>
        <w:ind w:firstLine="708"/>
        <w:rPr>
          <w:rFonts w:ascii="Times New Roman" w:hAnsi="Times New Roman"/>
          <w:color w:val="FFFFFF" w:themeColor="background1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lastRenderedPageBreak/>
        <w:t>Темп р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>ост</w:t>
      </w:r>
      <w:r>
        <w:rPr>
          <w:rFonts w:ascii="Times New Roman" w:eastAsia="Calibri" w:hAnsi="Times New Roman"/>
          <w:spacing w:val="0"/>
          <w:sz w:val="30"/>
          <w:szCs w:val="30"/>
        </w:rPr>
        <w:t>а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реальной заработной платы в целом по области </w:t>
      </w:r>
      <w:r>
        <w:rPr>
          <w:rFonts w:ascii="Times New Roman" w:eastAsia="Calibri" w:hAnsi="Times New Roman"/>
          <w:spacing w:val="0"/>
          <w:sz w:val="30"/>
          <w:szCs w:val="30"/>
        </w:rPr>
        <w:t>составил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101,1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%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январю-декабрю 2021 г. </w:t>
      </w:r>
      <w:r w:rsidR="00416E13" w:rsidRPr="00C4290C">
        <w:rPr>
          <w:rFonts w:ascii="Times New Roman" w:hAnsi="Times New Roman"/>
          <w:color w:val="FFFFFF" w:themeColor="background1"/>
          <w:sz w:val="30"/>
          <w:szCs w:val="30"/>
        </w:rPr>
        <w:t xml:space="preserve"> председателя </w:t>
      </w:r>
    </w:p>
    <w:p w:rsidR="00112B26" w:rsidRPr="00112B26" w:rsidRDefault="00112B26" w:rsidP="00112B26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112B26">
        <w:rPr>
          <w:rFonts w:ascii="Times New Roman" w:eastAsia="Calibri" w:hAnsi="Times New Roman"/>
          <w:spacing w:val="0"/>
          <w:sz w:val="30"/>
          <w:szCs w:val="30"/>
        </w:rPr>
        <w:t>По видам экономической деятельности реальная заработная плата за 2022 год по всем отраслям превысила 100,0 процентов к 2021 году, за исключением строитель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>ства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 и бюджетной сферы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 xml:space="preserve">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97,4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году).</w:t>
      </w:r>
    </w:p>
    <w:sectPr w:rsidR="00112B26" w:rsidRPr="00112B26" w:rsidSect="00C44E88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2B" w:rsidRDefault="00B8062B">
      <w:r>
        <w:separator/>
      </w:r>
    </w:p>
  </w:endnote>
  <w:endnote w:type="continuationSeparator" w:id="0">
    <w:p w:rsidR="00B8062B" w:rsidRDefault="00B8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2B" w:rsidRDefault="00B8062B">
      <w:r>
        <w:separator/>
      </w:r>
    </w:p>
  </w:footnote>
  <w:footnote w:type="continuationSeparator" w:id="0">
    <w:p w:rsidR="00B8062B" w:rsidRDefault="00B8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E35C67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7350E" w:rsidRDefault="0047350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399A78D5"/>
    <w:multiLevelType w:val="hybridMultilevel"/>
    <w:tmpl w:val="9A4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0464"/>
    <w:multiLevelType w:val="hybridMultilevel"/>
    <w:tmpl w:val="60C02FCE"/>
    <w:lvl w:ilvl="0" w:tplc="BEB0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662D3"/>
    <w:multiLevelType w:val="hybridMultilevel"/>
    <w:tmpl w:val="08261870"/>
    <w:lvl w:ilvl="0" w:tplc="D4F8A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5">
    <w:nsid w:val="70F10AF1"/>
    <w:multiLevelType w:val="hybridMultilevel"/>
    <w:tmpl w:val="D546655C"/>
    <w:lvl w:ilvl="0" w:tplc="64B4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85905"/>
    <w:multiLevelType w:val="hybridMultilevel"/>
    <w:tmpl w:val="25F48530"/>
    <w:lvl w:ilvl="0" w:tplc="065E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9"/>
    <w:rsid w:val="000060B8"/>
    <w:rsid w:val="00012107"/>
    <w:rsid w:val="00012FB4"/>
    <w:rsid w:val="00022058"/>
    <w:rsid w:val="00037B94"/>
    <w:rsid w:val="000511F8"/>
    <w:rsid w:val="00057B6F"/>
    <w:rsid w:val="00063884"/>
    <w:rsid w:val="00063B71"/>
    <w:rsid w:val="00063DA8"/>
    <w:rsid w:val="00063F47"/>
    <w:rsid w:val="00064109"/>
    <w:rsid w:val="000649A5"/>
    <w:rsid w:val="000736CF"/>
    <w:rsid w:val="000768D3"/>
    <w:rsid w:val="00076B1F"/>
    <w:rsid w:val="00080502"/>
    <w:rsid w:val="00080E4B"/>
    <w:rsid w:val="000829AE"/>
    <w:rsid w:val="00087224"/>
    <w:rsid w:val="00093629"/>
    <w:rsid w:val="00097CCE"/>
    <w:rsid w:val="000B02EE"/>
    <w:rsid w:val="000B074B"/>
    <w:rsid w:val="000C03EF"/>
    <w:rsid w:val="000C1DFE"/>
    <w:rsid w:val="000C6401"/>
    <w:rsid w:val="000D2F7F"/>
    <w:rsid w:val="000D56BD"/>
    <w:rsid w:val="000E30C5"/>
    <w:rsid w:val="000E3561"/>
    <w:rsid w:val="000F5F3A"/>
    <w:rsid w:val="000F76AF"/>
    <w:rsid w:val="00100254"/>
    <w:rsid w:val="00103669"/>
    <w:rsid w:val="00111F4B"/>
    <w:rsid w:val="00112B26"/>
    <w:rsid w:val="00117D9D"/>
    <w:rsid w:val="00124BD8"/>
    <w:rsid w:val="00127D6C"/>
    <w:rsid w:val="00127D73"/>
    <w:rsid w:val="00133B9B"/>
    <w:rsid w:val="00136F98"/>
    <w:rsid w:val="00142835"/>
    <w:rsid w:val="00147563"/>
    <w:rsid w:val="00157963"/>
    <w:rsid w:val="00166944"/>
    <w:rsid w:val="00172551"/>
    <w:rsid w:val="001921FF"/>
    <w:rsid w:val="001B2F71"/>
    <w:rsid w:val="001C1D29"/>
    <w:rsid w:val="001C4F47"/>
    <w:rsid w:val="001F2078"/>
    <w:rsid w:val="00205390"/>
    <w:rsid w:val="002100DB"/>
    <w:rsid w:val="0021495F"/>
    <w:rsid w:val="00232469"/>
    <w:rsid w:val="0023352A"/>
    <w:rsid w:val="00236A1D"/>
    <w:rsid w:val="00250512"/>
    <w:rsid w:val="00254281"/>
    <w:rsid w:val="002612FE"/>
    <w:rsid w:val="00261FCF"/>
    <w:rsid w:val="00272D4D"/>
    <w:rsid w:val="00281C28"/>
    <w:rsid w:val="002866A4"/>
    <w:rsid w:val="00293A91"/>
    <w:rsid w:val="00295362"/>
    <w:rsid w:val="00297EA9"/>
    <w:rsid w:val="002A27E0"/>
    <w:rsid w:val="002A4034"/>
    <w:rsid w:val="002D26B2"/>
    <w:rsid w:val="002F277B"/>
    <w:rsid w:val="002F27F9"/>
    <w:rsid w:val="002F6C98"/>
    <w:rsid w:val="00306376"/>
    <w:rsid w:val="00327433"/>
    <w:rsid w:val="003443B1"/>
    <w:rsid w:val="0034532E"/>
    <w:rsid w:val="00345940"/>
    <w:rsid w:val="00360920"/>
    <w:rsid w:val="00380DDC"/>
    <w:rsid w:val="003B0AFD"/>
    <w:rsid w:val="003C4FE6"/>
    <w:rsid w:val="003D2FFC"/>
    <w:rsid w:val="003D529A"/>
    <w:rsid w:val="003E1FA6"/>
    <w:rsid w:val="003E5150"/>
    <w:rsid w:val="003E59E1"/>
    <w:rsid w:val="00400650"/>
    <w:rsid w:val="00405750"/>
    <w:rsid w:val="00405C93"/>
    <w:rsid w:val="0041280C"/>
    <w:rsid w:val="00416E13"/>
    <w:rsid w:val="00426E37"/>
    <w:rsid w:val="00432AEE"/>
    <w:rsid w:val="00440A7A"/>
    <w:rsid w:val="00442C8C"/>
    <w:rsid w:val="00444275"/>
    <w:rsid w:val="00454880"/>
    <w:rsid w:val="0047350E"/>
    <w:rsid w:val="00483D3A"/>
    <w:rsid w:val="004A1530"/>
    <w:rsid w:val="004A1DB9"/>
    <w:rsid w:val="004A4890"/>
    <w:rsid w:val="004B2B9D"/>
    <w:rsid w:val="004B5162"/>
    <w:rsid w:val="00501B8F"/>
    <w:rsid w:val="005030E7"/>
    <w:rsid w:val="005127D1"/>
    <w:rsid w:val="00516256"/>
    <w:rsid w:val="005207C3"/>
    <w:rsid w:val="0053152B"/>
    <w:rsid w:val="00544206"/>
    <w:rsid w:val="00544FC1"/>
    <w:rsid w:val="00562540"/>
    <w:rsid w:val="00563B57"/>
    <w:rsid w:val="00564D6E"/>
    <w:rsid w:val="005676DD"/>
    <w:rsid w:val="00582089"/>
    <w:rsid w:val="00597295"/>
    <w:rsid w:val="005C6AC8"/>
    <w:rsid w:val="005E0C72"/>
    <w:rsid w:val="005E35E8"/>
    <w:rsid w:val="005E48C8"/>
    <w:rsid w:val="005E50B7"/>
    <w:rsid w:val="00603C7F"/>
    <w:rsid w:val="006061B2"/>
    <w:rsid w:val="006063F2"/>
    <w:rsid w:val="00606C12"/>
    <w:rsid w:val="0061224D"/>
    <w:rsid w:val="006123B6"/>
    <w:rsid w:val="006131E7"/>
    <w:rsid w:val="0061713E"/>
    <w:rsid w:val="00631740"/>
    <w:rsid w:val="00641861"/>
    <w:rsid w:val="00643C20"/>
    <w:rsid w:val="00645218"/>
    <w:rsid w:val="00645B88"/>
    <w:rsid w:val="006833C0"/>
    <w:rsid w:val="006A1E7C"/>
    <w:rsid w:val="006B5A73"/>
    <w:rsid w:val="006E1197"/>
    <w:rsid w:val="006E164F"/>
    <w:rsid w:val="0072584E"/>
    <w:rsid w:val="00733E31"/>
    <w:rsid w:val="00736299"/>
    <w:rsid w:val="00736540"/>
    <w:rsid w:val="00756609"/>
    <w:rsid w:val="007662EC"/>
    <w:rsid w:val="00793F26"/>
    <w:rsid w:val="00796C7F"/>
    <w:rsid w:val="007A08B2"/>
    <w:rsid w:val="007B08D7"/>
    <w:rsid w:val="007B09FF"/>
    <w:rsid w:val="007B44BC"/>
    <w:rsid w:val="007B6020"/>
    <w:rsid w:val="007B6333"/>
    <w:rsid w:val="007C1AE2"/>
    <w:rsid w:val="007C453D"/>
    <w:rsid w:val="007C6FFE"/>
    <w:rsid w:val="007E02AC"/>
    <w:rsid w:val="007E1B9F"/>
    <w:rsid w:val="007E4885"/>
    <w:rsid w:val="007E5149"/>
    <w:rsid w:val="0080248A"/>
    <w:rsid w:val="008167A6"/>
    <w:rsid w:val="008207B0"/>
    <w:rsid w:val="008334A8"/>
    <w:rsid w:val="00860CE2"/>
    <w:rsid w:val="00864367"/>
    <w:rsid w:val="008679C0"/>
    <w:rsid w:val="00871479"/>
    <w:rsid w:val="00881D93"/>
    <w:rsid w:val="00885DC6"/>
    <w:rsid w:val="008968A3"/>
    <w:rsid w:val="008A477C"/>
    <w:rsid w:val="008C0E75"/>
    <w:rsid w:val="008C7ECE"/>
    <w:rsid w:val="008D12F9"/>
    <w:rsid w:val="008E54DA"/>
    <w:rsid w:val="008F4908"/>
    <w:rsid w:val="00911E61"/>
    <w:rsid w:val="00921799"/>
    <w:rsid w:val="00923DA3"/>
    <w:rsid w:val="009361E4"/>
    <w:rsid w:val="009409D3"/>
    <w:rsid w:val="00942CE2"/>
    <w:rsid w:val="00942F32"/>
    <w:rsid w:val="00944393"/>
    <w:rsid w:val="00957E44"/>
    <w:rsid w:val="00961999"/>
    <w:rsid w:val="00974C6F"/>
    <w:rsid w:val="00982C9F"/>
    <w:rsid w:val="00984807"/>
    <w:rsid w:val="009854AE"/>
    <w:rsid w:val="009A2001"/>
    <w:rsid w:val="009A53A7"/>
    <w:rsid w:val="009C30ED"/>
    <w:rsid w:val="009C5E87"/>
    <w:rsid w:val="009D6735"/>
    <w:rsid w:val="009E25E8"/>
    <w:rsid w:val="009E35E8"/>
    <w:rsid w:val="009E46A5"/>
    <w:rsid w:val="009F03F8"/>
    <w:rsid w:val="009F2B25"/>
    <w:rsid w:val="009F3EA0"/>
    <w:rsid w:val="009F5B54"/>
    <w:rsid w:val="00A0082A"/>
    <w:rsid w:val="00A028CE"/>
    <w:rsid w:val="00A06C4F"/>
    <w:rsid w:val="00A161A3"/>
    <w:rsid w:val="00A16A33"/>
    <w:rsid w:val="00A241C2"/>
    <w:rsid w:val="00A351BA"/>
    <w:rsid w:val="00A37E4C"/>
    <w:rsid w:val="00A44A1E"/>
    <w:rsid w:val="00A554A8"/>
    <w:rsid w:val="00A629DC"/>
    <w:rsid w:val="00AA198A"/>
    <w:rsid w:val="00AA2004"/>
    <w:rsid w:val="00AA603E"/>
    <w:rsid w:val="00AA6892"/>
    <w:rsid w:val="00AB2839"/>
    <w:rsid w:val="00AB4103"/>
    <w:rsid w:val="00AD0EE5"/>
    <w:rsid w:val="00AD5659"/>
    <w:rsid w:val="00AE05D7"/>
    <w:rsid w:val="00AE0940"/>
    <w:rsid w:val="00AE38B4"/>
    <w:rsid w:val="00AF061B"/>
    <w:rsid w:val="00B11810"/>
    <w:rsid w:val="00B25467"/>
    <w:rsid w:val="00B2719D"/>
    <w:rsid w:val="00B3029E"/>
    <w:rsid w:val="00B31085"/>
    <w:rsid w:val="00B62A36"/>
    <w:rsid w:val="00B717B9"/>
    <w:rsid w:val="00B73173"/>
    <w:rsid w:val="00B76AB8"/>
    <w:rsid w:val="00B8062B"/>
    <w:rsid w:val="00B86385"/>
    <w:rsid w:val="00B90EFE"/>
    <w:rsid w:val="00B911EF"/>
    <w:rsid w:val="00B922C9"/>
    <w:rsid w:val="00B935A8"/>
    <w:rsid w:val="00BA007D"/>
    <w:rsid w:val="00BA60E4"/>
    <w:rsid w:val="00BB12B6"/>
    <w:rsid w:val="00BB7EE9"/>
    <w:rsid w:val="00BC2C57"/>
    <w:rsid w:val="00BC4646"/>
    <w:rsid w:val="00BE3A17"/>
    <w:rsid w:val="00BF37CE"/>
    <w:rsid w:val="00BF4F06"/>
    <w:rsid w:val="00C01F22"/>
    <w:rsid w:val="00C03572"/>
    <w:rsid w:val="00C0517B"/>
    <w:rsid w:val="00C13082"/>
    <w:rsid w:val="00C131DB"/>
    <w:rsid w:val="00C17B9C"/>
    <w:rsid w:val="00C23595"/>
    <w:rsid w:val="00C26507"/>
    <w:rsid w:val="00C36C2B"/>
    <w:rsid w:val="00C4290C"/>
    <w:rsid w:val="00C44E88"/>
    <w:rsid w:val="00C604C4"/>
    <w:rsid w:val="00C64D06"/>
    <w:rsid w:val="00C713CD"/>
    <w:rsid w:val="00C73A7F"/>
    <w:rsid w:val="00C826AE"/>
    <w:rsid w:val="00C8407E"/>
    <w:rsid w:val="00C84398"/>
    <w:rsid w:val="00CA10CE"/>
    <w:rsid w:val="00CB63BB"/>
    <w:rsid w:val="00CD1573"/>
    <w:rsid w:val="00CD1834"/>
    <w:rsid w:val="00CD4BE0"/>
    <w:rsid w:val="00CE20D4"/>
    <w:rsid w:val="00CE2A2A"/>
    <w:rsid w:val="00CE6753"/>
    <w:rsid w:val="00CF3330"/>
    <w:rsid w:val="00D00DD8"/>
    <w:rsid w:val="00D1160C"/>
    <w:rsid w:val="00D14A07"/>
    <w:rsid w:val="00D15837"/>
    <w:rsid w:val="00D16AE6"/>
    <w:rsid w:val="00D21331"/>
    <w:rsid w:val="00D26A3A"/>
    <w:rsid w:val="00D52FB6"/>
    <w:rsid w:val="00D65984"/>
    <w:rsid w:val="00D8009A"/>
    <w:rsid w:val="00D81FF5"/>
    <w:rsid w:val="00D93810"/>
    <w:rsid w:val="00DD029F"/>
    <w:rsid w:val="00DE124F"/>
    <w:rsid w:val="00DF49AB"/>
    <w:rsid w:val="00E02775"/>
    <w:rsid w:val="00E07E1F"/>
    <w:rsid w:val="00E15BCD"/>
    <w:rsid w:val="00E16117"/>
    <w:rsid w:val="00E35C67"/>
    <w:rsid w:val="00E37C33"/>
    <w:rsid w:val="00E4303B"/>
    <w:rsid w:val="00E44308"/>
    <w:rsid w:val="00E45095"/>
    <w:rsid w:val="00E45C33"/>
    <w:rsid w:val="00E52188"/>
    <w:rsid w:val="00E61C3D"/>
    <w:rsid w:val="00E63254"/>
    <w:rsid w:val="00E6546E"/>
    <w:rsid w:val="00E855A8"/>
    <w:rsid w:val="00E90203"/>
    <w:rsid w:val="00E91B47"/>
    <w:rsid w:val="00E92BFC"/>
    <w:rsid w:val="00E93C8C"/>
    <w:rsid w:val="00EA2335"/>
    <w:rsid w:val="00EA5B32"/>
    <w:rsid w:val="00EA79C4"/>
    <w:rsid w:val="00EA7A09"/>
    <w:rsid w:val="00EB1EBC"/>
    <w:rsid w:val="00EB3727"/>
    <w:rsid w:val="00EB77DB"/>
    <w:rsid w:val="00EC0E03"/>
    <w:rsid w:val="00EC68B2"/>
    <w:rsid w:val="00EF2B4E"/>
    <w:rsid w:val="00F1026A"/>
    <w:rsid w:val="00F131B5"/>
    <w:rsid w:val="00F2033F"/>
    <w:rsid w:val="00F223B5"/>
    <w:rsid w:val="00F26C4D"/>
    <w:rsid w:val="00F365E1"/>
    <w:rsid w:val="00F43F98"/>
    <w:rsid w:val="00F511B1"/>
    <w:rsid w:val="00F72B8B"/>
    <w:rsid w:val="00F814C5"/>
    <w:rsid w:val="00FB51AD"/>
    <w:rsid w:val="00FD0C27"/>
    <w:rsid w:val="00FD5CCC"/>
    <w:rsid w:val="00FD6498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yarchuk\AppData\Local\SMBusiness\Files\844019_copies\&#1041;&#1083;&#1072;&#1085;&#1082;%20&#1087;&#1080;&#1089;&#1100;&#1084;&#1072;%20&#1086;&#1073;&#1083;&#1080;&#1089;&#1087;&#1086;&#1083;&#1082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облисполкома</Template>
  <TotalTime>0</TotalTime>
  <Pages>5</Pages>
  <Words>1417</Words>
  <Characters>8080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2023-02-13T14:37:00Z</dcterms:created>
  <dcterms:modified xsi:type="dcterms:W3CDTF">2023-02-13T14:46:00Z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